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7619" w:rsidRDefault="00B87619" w:rsidP="00B87619">
      <w:pPr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</w:p>
    <w:p w:rsidR="00B87619" w:rsidRDefault="00B87619" w:rsidP="00B87619">
      <w:pPr>
        <w:jc w:val="center"/>
        <w:rPr>
          <w:rFonts w:ascii="Arial" w:hAnsi="Arial" w:cs="Arial"/>
          <w:b/>
          <w:sz w:val="28"/>
          <w:szCs w:val="28"/>
        </w:rPr>
      </w:pPr>
    </w:p>
    <w:p w:rsidR="00B87619" w:rsidRDefault="00B87619" w:rsidP="00B87619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B87619" w:rsidRPr="00982F9D" w:rsidTr="002179DF">
        <w:trPr>
          <w:trHeight w:val="5740"/>
        </w:trPr>
        <w:tc>
          <w:tcPr>
            <w:tcW w:w="8522" w:type="dxa"/>
          </w:tcPr>
          <w:p w:rsidR="00B87619" w:rsidRPr="00982F9D" w:rsidRDefault="00B87619" w:rsidP="002179D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8306"/>
            </w:tblGrid>
            <w:tr w:rsidR="00B87619" w:rsidRPr="00982F9D" w:rsidTr="002179DF">
              <w:tc>
                <w:tcPr>
                  <w:tcW w:w="852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B87619" w:rsidRPr="00982F9D" w:rsidRDefault="003A44B3" w:rsidP="002179DF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APPENDIX 11</w:t>
                  </w:r>
                  <w:r w:rsidR="00B87619" w:rsidRPr="00982F9D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 Low trauma fractures and Osteoporosis</w:t>
                  </w:r>
                </w:p>
                <w:p w:rsidR="00B87619" w:rsidRPr="00982F9D" w:rsidRDefault="00B87619" w:rsidP="002179DF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  <w:p w:rsidR="00B87619" w:rsidRPr="00982F9D" w:rsidRDefault="00B87619" w:rsidP="002179DF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982F9D">
                    <w:rPr>
                      <w:rFonts w:ascii="Arial" w:hAnsi="Arial" w:cs="Arial"/>
                      <w:b/>
                      <w:sz w:val="24"/>
                      <w:szCs w:val="24"/>
                    </w:rPr>
                    <w:t>Low trauma fractures</w:t>
                  </w:r>
                </w:p>
                <w:p w:rsidR="00B87619" w:rsidRPr="00982F9D" w:rsidRDefault="00B87619" w:rsidP="00B87619">
                  <w:pPr>
                    <w:numPr>
                      <w:ilvl w:val="0"/>
                      <w:numId w:val="2"/>
                    </w:num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 xml:space="preserve">Low trauma fractures are identified in men and women aged 50 years and over from standing height or below. </w:t>
                  </w:r>
                </w:p>
                <w:p w:rsidR="00B87619" w:rsidRPr="00982F9D" w:rsidRDefault="00B87619" w:rsidP="00B87619">
                  <w:pPr>
                    <w:numPr>
                      <w:ilvl w:val="0"/>
                      <w:numId w:val="2"/>
                    </w:num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>They are not related to trauma such as a road traffic accident. However, many people with osteoporosis also suffer high trauma fractures.</w:t>
                  </w:r>
                </w:p>
                <w:p w:rsidR="00B87619" w:rsidRPr="00982F9D" w:rsidRDefault="00B87619" w:rsidP="00B87619">
                  <w:pPr>
                    <w:numPr>
                      <w:ilvl w:val="0"/>
                      <w:numId w:val="2"/>
                    </w:num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 xml:space="preserve"> Usually bones are strong enough to withstand a fall from standing height or below without fracturing, but if the person has osteoporosis, the bone is more likely to break.</w:t>
                  </w:r>
                </w:p>
                <w:p w:rsidR="00B87619" w:rsidRPr="00982F9D" w:rsidRDefault="00B87619" w:rsidP="00B87619">
                  <w:pPr>
                    <w:numPr>
                      <w:ilvl w:val="0"/>
                      <w:numId w:val="2"/>
                    </w:numPr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</w:pPr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 xml:space="preserve">Typical sites are vertebral; neck of femur and </w:t>
                  </w:r>
                  <w:proofErr w:type="spellStart"/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>Colles</w:t>
                  </w:r>
                  <w:proofErr w:type="spellEnd"/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 xml:space="preserve"> (wrist) but </w:t>
                  </w:r>
                  <w:proofErr w:type="spellStart"/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>humerus</w:t>
                  </w:r>
                  <w:proofErr w:type="spellEnd"/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>, pelvis and femur are also relatively common.</w:t>
                  </w:r>
                </w:p>
                <w:p w:rsidR="00B87619" w:rsidRPr="00982F9D" w:rsidRDefault="00B87619" w:rsidP="00B87619">
                  <w:pPr>
                    <w:numPr>
                      <w:ilvl w:val="0"/>
                      <w:numId w:val="2"/>
                    </w:numPr>
                    <w:rPr>
                      <w:rFonts w:ascii="Arial" w:hAnsi="Arial" w:cs="Arial"/>
                      <w:sz w:val="24"/>
                      <w:szCs w:val="24"/>
                      <w:lang w:val="en-US"/>
                    </w:rPr>
                  </w:pPr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>Significant height loss, curved spine and back pain may signify vertebral fracture.</w:t>
                  </w:r>
                </w:p>
                <w:p w:rsidR="00B87619" w:rsidRPr="00982F9D" w:rsidRDefault="00B87619" w:rsidP="002179DF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:rsidR="00B87619" w:rsidRPr="00982F9D" w:rsidRDefault="00B87619" w:rsidP="002179DF">
                  <w:pPr>
                    <w:rPr>
                      <w:rFonts w:ascii="Arial" w:hAnsi="Arial" w:cs="Arial"/>
                      <w:b/>
                      <w:sz w:val="24"/>
                      <w:szCs w:val="24"/>
                      <w:lang w:val="en-US"/>
                    </w:rPr>
                  </w:pPr>
                  <w:r w:rsidRPr="00982F9D">
                    <w:rPr>
                      <w:rFonts w:ascii="Arial" w:hAnsi="Arial" w:cs="Arial"/>
                      <w:b/>
                      <w:sz w:val="24"/>
                      <w:szCs w:val="24"/>
                    </w:rPr>
                    <w:t>Osteoporosis</w:t>
                  </w:r>
                </w:p>
                <w:p w:rsidR="00B87619" w:rsidRPr="00982F9D" w:rsidRDefault="00B87619" w:rsidP="00B87619">
                  <w:pPr>
                    <w:numPr>
                      <w:ilvl w:val="0"/>
                      <w:numId w:val="2"/>
                    </w:num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>Osteoporosis occurs when there is a deterioration of bone, until it becomes so porous that it can break very easily. The bones have a low mineral density.</w:t>
                  </w:r>
                </w:p>
                <w:p w:rsidR="00B87619" w:rsidRPr="00982F9D" w:rsidRDefault="00B87619" w:rsidP="00B87619">
                  <w:pPr>
                    <w:numPr>
                      <w:ilvl w:val="0"/>
                      <w:numId w:val="2"/>
                    </w:num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82F9D">
                    <w:rPr>
                      <w:rFonts w:ascii="Arial" w:hAnsi="Arial" w:cs="Arial"/>
                      <w:bCs/>
                      <w:sz w:val="24"/>
                      <w:szCs w:val="24"/>
                    </w:rPr>
                    <w:t>1 in 2 women</w:t>
                  </w:r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 xml:space="preserve"> and </w:t>
                  </w:r>
                  <w:r w:rsidRPr="00982F9D">
                    <w:rPr>
                      <w:rFonts w:ascii="Arial" w:hAnsi="Arial" w:cs="Arial"/>
                      <w:bCs/>
                      <w:sz w:val="24"/>
                      <w:szCs w:val="24"/>
                    </w:rPr>
                    <w:t>1 in 5 men</w:t>
                  </w:r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Pr="00982F9D">
                    <w:rPr>
                      <w:rFonts w:ascii="Arial" w:hAnsi="Arial" w:cs="Arial"/>
                      <w:bCs/>
                      <w:sz w:val="24"/>
                      <w:szCs w:val="24"/>
                    </w:rPr>
                    <w:t>over the age of 50 will sustain a fracture, as a result of osteoporosis.</w:t>
                  </w:r>
                </w:p>
                <w:p w:rsidR="00B87619" w:rsidRPr="00982F9D" w:rsidRDefault="00B87619" w:rsidP="00B87619">
                  <w:pPr>
                    <w:numPr>
                      <w:ilvl w:val="0"/>
                      <w:numId w:val="2"/>
                    </w:num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82F9D">
                    <w:rPr>
                      <w:rFonts w:ascii="Arial" w:hAnsi="Arial" w:cs="Arial"/>
                      <w:bCs/>
                      <w:sz w:val="24"/>
                      <w:szCs w:val="24"/>
                    </w:rPr>
                    <w:t>There is a genetic risk and Black African races have denser bones than Caucasian women.</w:t>
                  </w:r>
                </w:p>
                <w:p w:rsidR="00B87619" w:rsidRPr="00982F9D" w:rsidRDefault="00B87619" w:rsidP="00B87619">
                  <w:pPr>
                    <w:numPr>
                      <w:ilvl w:val="0"/>
                      <w:numId w:val="2"/>
                    </w:num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82F9D">
                    <w:rPr>
                      <w:rFonts w:ascii="Arial" w:hAnsi="Arial" w:cs="Arial"/>
                      <w:bCs/>
                      <w:sz w:val="24"/>
                      <w:szCs w:val="24"/>
                    </w:rPr>
                    <w:t>Bone density is lost during menopause.</w:t>
                  </w:r>
                </w:p>
                <w:p w:rsidR="00B87619" w:rsidRPr="00982F9D" w:rsidRDefault="00B87619" w:rsidP="00B87619">
                  <w:pPr>
                    <w:numPr>
                      <w:ilvl w:val="0"/>
                      <w:numId w:val="2"/>
                    </w:num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82F9D">
                    <w:rPr>
                      <w:rFonts w:ascii="Arial" w:hAnsi="Arial" w:cs="Arial"/>
                      <w:bCs/>
                      <w:sz w:val="24"/>
                      <w:szCs w:val="24"/>
                    </w:rPr>
                    <w:t>The risk of developing osteoporosis increases with:</w:t>
                  </w:r>
                </w:p>
                <w:p w:rsidR="00B87619" w:rsidRPr="00982F9D" w:rsidRDefault="00B87619" w:rsidP="00B87619">
                  <w:pPr>
                    <w:numPr>
                      <w:ilvl w:val="1"/>
                      <w:numId w:val="2"/>
                    </w:num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>alcohol use and smoking</w:t>
                  </w:r>
                </w:p>
                <w:p w:rsidR="00B87619" w:rsidRPr="00982F9D" w:rsidRDefault="00B87619" w:rsidP="00B87619">
                  <w:pPr>
                    <w:numPr>
                      <w:ilvl w:val="1"/>
                      <w:numId w:val="2"/>
                    </w:num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>eating disorders (anorexia or poor nutritional intake)</w:t>
                  </w:r>
                </w:p>
                <w:p w:rsidR="00B87619" w:rsidRPr="00982F9D" w:rsidRDefault="00B87619" w:rsidP="00B87619">
                  <w:pPr>
                    <w:numPr>
                      <w:ilvl w:val="1"/>
                      <w:numId w:val="2"/>
                    </w:num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>Crohn’s or Coeliac disease</w:t>
                  </w:r>
                </w:p>
                <w:p w:rsidR="00B87619" w:rsidRPr="00982F9D" w:rsidRDefault="00B87619" w:rsidP="00B87619">
                  <w:pPr>
                    <w:numPr>
                      <w:ilvl w:val="1"/>
                      <w:numId w:val="2"/>
                    </w:numPr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gramStart"/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>corticosteroid</w:t>
                  </w:r>
                  <w:proofErr w:type="gramEnd"/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 xml:space="preserve"> therapy; hyperthyroidism and hyperparathyroidism.</w:t>
                  </w:r>
                </w:p>
                <w:p w:rsidR="00B87619" w:rsidRPr="00982F9D" w:rsidRDefault="00B87619" w:rsidP="002179DF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:rsidR="00B87619" w:rsidRPr="00982F9D" w:rsidRDefault="00B87619" w:rsidP="002179DF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982F9D">
                    <w:rPr>
                      <w:rFonts w:ascii="Arial" w:hAnsi="Arial" w:cs="Arial"/>
                      <w:b/>
                      <w:sz w:val="24"/>
                      <w:szCs w:val="24"/>
                    </w:rPr>
                    <w:t>Fracture Neck of Femur</w:t>
                  </w:r>
                </w:p>
                <w:p w:rsidR="00B87619" w:rsidRPr="00982F9D" w:rsidRDefault="00B87619" w:rsidP="002179DF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>Neck of femur of a 23 year old               Neck of femur of an 82 year old</w:t>
                  </w:r>
                </w:p>
                <w:p w:rsidR="00B87619" w:rsidRPr="00982F9D" w:rsidRDefault="00B87619" w:rsidP="002179DF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noProof/>
                      <w:sz w:val="24"/>
                      <w:szCs w:val="24"/>
                    </w:rPr>
                    <w:drawing>
                      <wp:inline distT="0" distB="0" distL="0" distR="0">
                        <wp:extent cx="4914900" cy="1943100"/>
                        <wp:effectExtent l="19050" t="0" r="0" b="0"/>
                        <wp:docPr id="2" name="Picture 2" descr="femoral neck porosity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femoral neck porosity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 cstate="print"/>
                                <a:srcRect l="24603" t="15918" r="13208" b="68112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914900" cy="19431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B87619" w:rsidRPr="00982F9D" w:rsidRDefault="00B87619" w:rsidP="002179DF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:rsidR="00B87619" w:rsidRPr="00982F9D" w:rsidRDefault="00B87619" w:rsidP="002179DF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:rsidR="00B87619" w:rsidRPr="00982F9D" w:rsidRDefault="00B87619" w:rsidP="00B87619">
                  <w:pPr>
                    <w:numPr>
                      <w:ilvl w:val="0"/>
                      <w:numId w:val="2"/>
                    </w:num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982F9D">
                    <w:rPr>
                      <w:rFonts w:ascii="Arial" w:hAnsi="Arial" w:cs="Arial"/>
                      <w:sz w:val="24"/>
                      <w:szCs w:val="24"/>
                    </w:rPr>
                    <w:t xml:space="preserve">Fracture neck of femur carries a significant risk of morbidity and mortality. There is a high cost in human terms – 50% do not regain former level of independence and high service costs for health and social care. </w:t>
                  </w:r>
                </w:p>
              </w:tc>
            </w:tr>
          </w:tbl>
          <w:p w:rsidR="00B87619" w:rsidRPr="00982F9D" w:rsidRDefault="00B87619" w:rsidP="002179D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87619" w:rsidRPr="00982F9D" w:rsidRDefault="00B87619" w:rsidP="002179D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82F9D">
              <w:rPr>
                <w:rFonts w:ascii="Arial" w:hAnsi="Arial" w:cs="Arial"/>
                <w:b/>
                <w:sz w:val="24"/>
                <w:szCs w:val="24"/>
              </w:rPr>
              <w:t>DXA Scan</w:t>
            </w:r>
          </w:p>
          <w:p w:rsidR="00B87619" w:rsidRPr="00982F9D" w:rsidRDefault="00B87619" w:rsidP="00B87619">
            <w:pPr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bCs/>
                <w:sz w:val="24"/>
                <w:szCs w:val="24"/>
              </w:rPr>
              <w:t>The diagnosis of osteoporosis is made by a DXA scan (painless x-ray procedure)</w:t>
            </w:r>
            <w:r w:rsidRPr="00982F9D">
              <w:rPr>
                <w:rFonts w:ascii="Arial" w:hAnsi="Arial" w:cs="Arial"/>
                <w:sz w:val="24"/>
                <w:szCs w:val="24"/>
              </w:rPr>
              <w:t xml:space="preserve"> and to identify individuals most likely to have osteoporosis, there is an aim to scan:</w:t>
            </w:r>
          </w:p>
          <w:p w:rsidR="00B87619" w:rsidRPr="00982F9D" w:rsidRDefault="00B87619" w:rsidP="00B87619">
            <w:pPr>
              <w:numPr>
                <w:ilvl w:val="1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All fragility fractures</w:t>
            </w:r>
          </w:p>
          <w:p w:rsidR="00B87619" w:rsidRPr="00982F9D" w:rsidRDefault="00B87619" w:rsidP="00B87619">
            <w:pPr>
              <w:numPr>
                <w:ilvl w:val="1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Family history</w:t>
            </w:r>
          </w:p>
          <w:p w:rsidR="00B87619" w:rsidRPr="00982F9D" w:rsidRDefault="00B87619" w:rsidP="00B87619">
            <w:pPr>
              <w:numPr>
                <w:ilvl w:val="1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Steroid use</w:t>
            </w:r>
          </w:p>
          <w:p w:rsidR="00B87619" w:rsidRPr="00982F9D" w:rsidRDefault="00B87619" w:rsidP="00B87619">
            <w:pPr>
              <w:numPr>
                <w:ilvl w:val="1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Post-menopausal women</w:t>
            </w:r>
          </w:p>
          <w:p w:rsidR="00B87619" w:rsidRPr="00982F9D" w:rsidRDefault="00B87619" w:rsidP="00B87619">
            <w:pPr>
              <w:numPr>
                <w:ilvl w:val="1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Kyphosis and loss of height</w:t>
            </w:r>
          </w:p>
          <w:p w:rsidR="00B87619" w:rsidRPr="00982F9D" w:rsidRDefault="00B87619" w:rsidP="002179DF">
            <w:pPr>
              <w:rPr>
                <w:rFonts w:ascii="Arial" w:hAnsi="Arial" w:cs="Arial"/>
                <w:sz w:val="24"/>
                <w:szCs w:val="24"/>
              </w:rPr>
            </w:pPr>
          </w:p>
          <w:p w:rsidR="00B87619" w:rsidRPr="00982F9D" w:rsidRDefault="00B87619" w:rsidP="00B87619">
            <w:pPr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Records density of bone at hip or wrist and lumbar spine</w:t>
            </w:r>
          </w:p>
          <w:p w:rsidR="00B87619" w:rsidRPr="00982F9D" w:rsidRDefault="00B87619" w:rsidP="00B87619">
            <w:pPr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Allows instant assessment of vertebrae</w:t>
            </w:r>
          </w:p>
          <w:p w:rsidR="00B87619" w:rsidRPr="00982F9D" w:rsidRDefault="00B87619" w:rsidP="002179DF">
            <w:pPr>
              <w:ind w:left="170"/>
              <w:rPr>
                <w:rFonts w:ascii="Arial" w:hAnsi="Arial" w:cs="Arial"/>
                <w:sz w:val="24"/>
                <w:szCs w:val="24"/>
              </w:rPr>
            </w:pPr>
          </w:p>
          <w:p w:rsidR="00B87619" w:rsidRPr="00982F9D" w:rsidRDefault="00B87619" w:rsidP="002179D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82F9D">
              <w:rPr>
                <w:rFonts w:ascii="Arial" w:hAnsi="Arial" w:cs="Arial"/>
                <w:b/>
                <w:sz w:val="24"/>
                <w:szCs w:val="24"/>
              </w:rPr>
              <w:t>Treatment</w:t>
            </w:r>
          </w:p>
          <w:p w:rsidR="00B87619" w:rsidRPr="00982F9D" w:rsidRDefault="00B87619" w:rsidP="00B87619">
            <w:pPr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Calcium and Vitamin D supplementation (taken daily)</w:t>
            </w:r>
          </w:p>
          <w:p w:rsidR="00B87619" w:rsidRPr="00982F9D" w:rsidRDefault="00B87619" w:rsidP="00B87619">
            <w:pPr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Vitamin D alone</w:t>
            </w:r>
          </w:p>
          <w:p w:rsidR="00B87619" w:rsidRPr="00982F9D" w:rsidRDefault="00B87619" w:rsidP="00B87619">
            <w:pPr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Tablets which can be chewed:</w:t>
            </w:r>
          </w:p>
          <w:p w:rsidR="00B87619" w:rsidRPr="00982F9D" w:rsidRDefault="00B87619" w:rsidP="00B87619">
            <w:pPr>
              <w:numPr>
                <w:ilvl w:val="1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82F9D">
              <w:rPr>
                <w:rFonts w:ascii="Arial" w:hAnsi="Arial" w:cs="Arial"/>
                <w:sz w:val="24"/>
                <w:szCs w:val="24"/>
              </w:rPr>
              <w:t>Calcichew</w:t>
            </w:r>
            <w:proofErr w:type="spellEnd"/>
            <w:r w:rsidRPr="00982F9D">
              <w:rPr>
                <w:rFonts w:ascii="Arial" w:hAnsi="Arial" w:cs="Arial"/>
                <w:sz w:val="24"/>
                <w:szCs w:val="24"/>
              </w:rPr>
              <w:t xml:space="preserve"> D3 Forte, </w:t>
            </w:r>
            <w:proofErr w:type="spellStart"/>
            <w:r w:rsidRPr="00982F9D">
              <w:rPr>
                <w:rFonts w:ascii="Arial" w:hAnsi="Arial" w:cs="Arial"/>
                <w:sz w:val="24"/>
                <w:szCs w:val="24"/>
              </w:rPr>
              <w:t>Adcal</w:t>
            </w:r>
            <w:proofErr w:type="spellEnd"/>
            <w:r w:rsidRPr="00982F9D">
              <w:rPr>
                <w:rFonts w:ascii="Arial" w:hAnsi="Arial" w:cs="Arial"/>
                <w:sz w:val="24"/>
                <w:szCs w:val="24"/>
              </w:rPr>
              <w:t xml:space="preserve"> D3, </w:t>
            </w:r>
            <w:proofErr w:type="spellStart"/>
            <w:r w:rsidRPr="00982F9D">
              <w:rPr>
                <w:rFonts w:ascii="Arial" w:hAnsi="Arial" w:cs="Arial"/>
                <w:sz w:val="24"/>
                <w:szCs w:val="24"/>
              </w:rPr>
              <w:t>Calceos</w:t>
            </w:r>
            <w:proofErr w:type="spellEnd"/>
          </w:p>
          <w:p w:rsidR="00B87619" w:rsidRPr="00982F9D" w:rsidRDefault="00B87619" w:rsidP="00B87619">
            <w:pPr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Tablets which can be swallowed:</w:t>
            </w:r>
          </w:p>
          <w:p w:rsidR="00B87619" w:rsidRPr="00982F9D" w:rsidRDefault="00B87619" w:rsidP="00B87619">
            <w:pPr>
              <w:numPr>
                <w:ilvl w:val="1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82F9D">
              <w:rPr>
                <w:rFonts w:ascii="Arial" w:hAnsi="Arial" w:cs="Arial"/>
                <w:sz w:val="24"/>
                <w:szCs w:val="24"/>
              </w:rPr>
              <w:t>Calcichew</w:t>
            </w:r>
            <w:proofErr w:type="spellEnd"/>
            <w:r w:rsidRPr="00982F9D">
              <w:rPr>
                <w:rFonts w:ascii="Arial" w:hAnsi="Arial" w:cs="Arial"/>
                <w:sz w:val="24"/>
                <w:szCs w:val="24"/>
              </w:rPr>
              <w:t xml:space="preserve"> D3 caplets</w:t>
            </w:r>
          </w:p>
          <w:p w:rsidR="00B87619" w:rsidRPr="00982F9D" w:rsidRDefault="00B87619" w:rsidP="00B87619">
            <w:pPr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Soluble tablets:</w:t>
            </w:r>
          </w:p>
          <w:p w:rsidR="00B87619" w:rsidRPr="00982F9D" w:rsidRDefault="00B87619" w:rsidP="00B87619">
            <w:pPr>
              <w:numPr>
                <w:ilvl w:val="1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82F9D">
              <w:rPr>
                <w:rFonts w:ascii="Arial" w:hAnsi="Arial" w:cs="Arial"/>
                <w:sz w:val="24"/>
                <w:szCs w:val="24"/>
              </w:rPr>
              <w:t>Cacit</w:t>
            </w:r>
            <w:proofErr w:type="spellEnd"/>
            <w:r w:rsidRPr="00982F9D">
              <w:rPr>
                <w:rFonts w:ascii="Arial" w:hAnsi="Arial" w:cs="Arial"/>
                <w:sz w:val="24"/>
                <w:szCs w:val="24"/>
              </w:rPr>
              <w:t xml:space="preserve"> D3, </w:t>
            </w:r>
            <w:proofErr w:type="spellStart"/>
            <w:r w:rsidRPr="00982F9D">
              <w:rPr>
                <w:rFonts w:ascii="Arial" w:hAnsi="Arial" w:cs="Arial"/>
                <w:sz w:val="24"/>
                <w:szCs w:val="24"/>
              </w:rPr>
              <w:t>Adcal</w:t>
            </w:r>
            <w:proofErr w:type="spellEnd"/>
            <w:r w:rsidRPr="00982F9D">
              <w:rPr>
                <w:rFonts w:ascii="Arial" w:hAnsi="Arial" w:cs="Arial"/>
                <w:sz w:val="24"/>
                <w:szCs w:val="24"/>
              </w:rPr>
              <w:t xml:space="preserve"> D3 dissolve</w:t>
            </w:r>
          </w:p>
          <w:p w:rsidR="00B87619" w:rsidRPr="00982F9D" w:rsidRDefault="00B87619" w:rsidP="00B87619">
            <w:pPr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Vitamin D alone (dosing frequency varies</w:t>
            </w:r>
          </w:p>
          <w:p w:rsidR="00B87619" w:rsidRPr="00982F9D" w:rsidRDefault="00B87619" w:rsidP="00B87619">
            <w:pPr>
              <w:numPr>
                <w:ilvl w:val="1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82F9D">
              <w:rPr>
                <w:rFonts w:ascii="Arial" w:hAnsi="Arial" w:cs="Arial"/>
                <w:sz w:val="24"/>
                <w:szCs w:val="24"/>
              </w:rPr>
              <w:t>Colecalciferol</w:t>
            </w:r>
            <w:proofErr w:type="spellEnd"/>
            <w:r w:rsidRPr="00982F9D">
              <w:rPr>
                <w:rFonts w:ascii="Arial" w:hAnsi="Arial" w:cs="Arial"/>
                <w:sz w:val="24"/>
                <w:szCs w:val="24"/>
              </w:rPr>
              <w:t xml:space="preserve">, </w:t>
            </w:r>
            <w:proofErr w:type="spellStart"/>
            <w:r w:rsidRPr="00982F9D">
              <w:rPr>
                <w:rFonts w:ascii="Arial" w:hAnsi="Arial" w:cs="Arial"/>
                <w:sz w:val="24"/>
                <w:szCs w:val="24"/>
              </w:rPr>
              <w:t>ergocalciferol</w:t>
            </w:r>
            <w:proofErr w:type="spellEnd"/>
          </w:p>
          <w:p w:rsidR="00B87619" w:rsidRPr="00982F9D" w:rsidRDefault="00B87619" w:rsidP="002179DF">
            <w:pPr>
              <w:rPr>
                <w:rFonts w:ascii="Arial" w:hAnsi="Arial" w:cs="Arial"/>
                <w:sz w:val="24"/>
                <w:szCs w:val="24"/>
              </w:rPr>
            </w:pPr>
          </w:p>
          <w:p w:rsidR="00B87619" w:rsidRPr="00982F9D" w:rsidRDefault="00B87619" w:rsidP="00B87619">
            <w:pPr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82F9D">
              <w:rPr>
                <w:rFonts w:ascii="Arial" w:hAnsi="Arial" w:cs="Arial"/>
                <w:sz w:val="24"/>
                <w:szCs w:val="24"/>
              </w:rPr>
              <w:t>Colecalciferol</w:t>
            </w:r>
            <w:proofErr w:type="spellEnd"/>
            <w:r w:rsidRPr="00982F9D">
              <w:rPr>
                <w:rFonts w:ascii="Arial" w:hAnsi="Arial" w:cs="Arial"/>
                <w:sz w:val="24"/>
                <w:szCs w:val="24"/>
              </w:rPr>
              <w:t xml:space="preserve">, </w:t>
            </w:r>
            <w:proofErr w:type="spellStart"/>
            <w:r w:rsidRPr="00982F9D">
              <w:rPr>
                <w:rFonts w:ascii="Arial" w:hAnsi="Arial" w:cs="Arial"/>
                <w:sz w:val="24"/>
                <w:szCs w:val="24"/>
              </w:rPr>
              <w:t>ergocalciferol</w:t>
            </w:r>
            <w:proofErr w:type="spellEnd"/>
            <w:r w:rsidRPr="00982F9D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B87619" w:rsidRPr="00982F9D" w:rsidRDefault="00B87619" w:rsidP="00B87619">
            <w:pPr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 xml:space="preserve">Oral </w:t>
            </w:r>
            <w:proofErr w:type="spellStart"/>
            <w:r w:rsidRPr="00982F9D">
              <w:rPr>
                <w:rFonts w:ascii="Arial" w:hAnsi="Arial" w:cs="Arial"/>
                <w:sz w:val="24"/>
                <w:szCs w:val="24"/>
              </w:rPr>
              <w:t>Bisphonates</w:t>
            </w:r>
            <w:proofErr w:type="spellEnd"/>
            <w:r w:rsidRPr="00982F9D">
              <w:rPr>
                <w:rFonts w:ascii="Arial" w:hAnsi="Arial" w:cs="Arial"/>
                <w:sz w:val="24"/>
                <w:szCs w:val="24"/>
              </w:rPr>
              <w:t>:</w:t>
            </w:r>
          </w:p>
          <w:p w:rsidR="00B87619" w:rsidRPr="00982F9D" w:rsidRDefault="00B87619" w:rsidP="00B87619">
            <w:pPr>
              <w:numPr>
                <w:ilvl w:val="1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 xml:space="preserve">Weekly tablets: </w:t>
            </w:r>
            <w:proofErr w:type="spellStart"/>
            <w:r w:rsidRPr="00982F9D">
              <w:rPr>
                <w:rFonts w:ascii="Arial" w:hAnsi="Arial" w:cs="Arial"/>
                <w:sz w:val="24"/>
                <w:szCs w:val="24"/>
              </w:rPr>
              <w:t>Alendronic</w:t>
            </w:r>
            <w:proofErr w:type="spellEnd"/>
            <w:r w:rsidRPr="00982F9D">
              <w:rPr>
                <w:rFonts w:ascii="Arial" w:hAnsi="Arial" w:cs="Arial"/>
                <w:sz w:val="24"/>
                <w:szCs w:val="24"/>
              </w:rPr>
              <w:t xml:space="preserve"> Acid (Fosamax) and </w:t>
            </w:r>
            <w:proofErr w:type="spellStart"/>
            <w:r w:rsidRPr="00982F9D">
              <w:rPr>
                <w:rFonts w:ascii="Arial" w:hAnsi="Arial" w:cs="Arial"/>
                <w:sz w:val="24"/>
                <w:szCs w:val="24"/>
              </w:rPr>
              <w:t>Risedronate</w:t>
            </w:r>
            <w:proofErr w:type="spellEnd"/>
            <w:r w:rsidRPr="00982F9D">
              <w:rPr>
                <w:rFonts w:ascii="Arial" w:hAnsi="Arial" w:cs="Arial"/>
                <w:sz w:val="24"/>
                <w:szCs w:val="24"/>
              </w:rPr>
              <w:t xml:space="preserve"> (Actonel)</w:t>
            </w:r>
          </w:p>
          <w:p w:rsidR="00B87619" w:rsidRPr="00982F9D" w:rsidRDefault="00B87619" w:rsidP="00B87619">
            <w:pPr>
              <w:numPr>
                <w:ilvl w:val="1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 xml:space="preserve">Monthly tablets: </w:t>
            </w:r>
            <w:proofErr w:type="spellStart"/>
            <w:r w:rsidRPr="00982F9D">
              <w:rPr>
                <w:rFonts w:ascii="Arial" w:hAnsi="Arial" w:cs="Arial"/>
                <w:sz w:val="24"/>
                <w:szCs w:val="24"/>
              </w:rPr>
              <w:t>Ibandronate</w:t>
            </w:r>
            <w:proofErr w:type="spellEnd"/>
            <w:r w:rsidRPr="00982F9D">
              <w:rPr>
                <w:rFonts w:ascii="Arial" w:hAnsi="Arial" w:cs="Arial"/>
                <w:sz w:val="24"/>
                <w:szCs w:val="24"/>
              </w:rPr>
              <w:t xml:space="preserve"> (</w:t>
            </w:r>
            <w:proofErr w:type="spellStart"/>
            <w:r w:rsidRPr="00982F9D">
              <w:rPr>
                <w:rFonts w:ascii="Arial" w:hAnsi="Arial" w:cs="Arial"/>
                <w:sz w:val="24"/>
                <w:szCs w:val="24"/>
              </w:rPr>
              <w:t>Bonviva</w:t>
            </w:r>
            <w:proofErr w:type="spellEnd"/>
            <w:r w:rsidRPr="00982F9D">
              <w:rPr>
                <w:rFonts w:ascii="Arial" w:hAnsi="Arial" w:cs="Arial"/>
                <w:sz w:val="24"/>
                <w:szCs w:val="24"/>
              </w:rPr>
              <w:t>)</w:t>
            </w:r>
          </w:p>
          <w:p w:rsidR="00B87619" w:rsidRPr="00982F9D" w:rsidRDefault="00B87619" w:rsidP="00B87619">
            <w:pPr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All should be swallowed whole after an overnight fast with a glass of tap water. After does, person should sit or stand for at least 30 minutes before eating or drinking.</w:t>
            </w:r>
          </w:p>
          <w:p w:rsidR="00B87619" w:rsidRPr="00982F9D" w:rsidRDefault="00B87619" w:rsidP="002179DF">
            <w:pPr>
              <w:ind w:left="170"/>
              <w:rPr>
                <w:rFonts w:ascii="Arial" w:hAnsi="Arial" w:cs="Arial"/>
                <w:sz w:val="24"/>
                <w:szCs w:val="24"/>
              </w:rPr>
            </w:pPr>
          </w:p>
          <w:p w:rsidR="00B87619" w:rsidRPr="00982F9D" w:rsidRDefault="00B87619" w:rsidP="00B87619">
            <w:pPr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There are other medication treatments including intravenous therapies.</w:t>
            </w:r>
          </w:p>
          <w:p w:rsidR="00B87619" w:rsidRPr="00982F9D" w:rsidRDefault="00B87619" w:rsidP="00B87619">
            <w:pPr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Nurses should support patient concordance.</w:t>
            </w:r>
          </w:p>
          <w:p w:rsidR="00B87619" w:rsidRPr="00982F9D" w:rsidRDefault="00B87619" w:rsidP="002179DF">
            <w:pPr>
              <w:ind w:left="170"/>
              <w:rPr>
                <w:rFonts w:ascii="Arial" w:hAnsi="Arial" w:cs="Arial"/>
                <w:sz w:val="24"/>
                <w:szCs w:val="24"/>
              </w:rPr>
            </w:pPr>
          </w:p>
          <w:p w:rsidR="00B87619" w:rsidRPr="00982F9D" w:rsidRDefault="00B87619" w:rsidP="002179DF">
            <w:pPr>
              <w:ind w:left="170"/>
              <w:rPr>
                <w:rFonts w:ascii="Arial" w:hAnsi="Arial" w:cs="Arial"/>
                <w:b/>
                <w:sz w:val="24"/>
                <w:szCs w:val="24"/>
              </w:rPr>
            </w:pPr>
            <w:r w:rsidRPr="00982F9D">
              <w:rPr>
                <w:rFonts w:ascii="Arial" w:hAnsi="Arial" w:cs="Arial"/>
                <w:b/>
                <w:sz w:val="24"/>
                <w:szCs w:val="24"/>
              </w:rPr>
              <w:t>Lifestyle issues</w:t>
            </w:r>
          </w:p>
          <w:p w:rsidR="00B87619" w:rsidRPr="00982F9D" w:rsidRDefault="00B87619" w:rsidP="00B87619">
            <w:pPr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982F9D">
              <w:rPr>
                <w:rFonts w:ascii="Arial" w:hAnsi="Arial" w:cs="Arial"/>
                <w:sz w:val="24"/>
                <w:szCs w:val="24"/>
              </w:rPr>
              <w:t>Patients with osteoporosis should be encouraged to have a moderate alcohol use, stop smoking and take regular weight-bearing exercise.</w:t>
            </w:r>
          </w:p>
          <w:p w:rsidR="00B87619" w:rsidRPr="001B2DF0" w:rsidRDefault="00B87619" w:rsidP="002179DF">
            <w:pPr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1B2DF0">
              <w:rPr>
                <w:rFonts w:ascii="Arial" w:hAnsi="Arial" w:cs="Arial"/>
                <w:sz w:val="24"/>
                <w:szCs w:val="24"/>
              </w:rPr>
              <w:t>A good diet that contains calcium is important.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8291"/>
            </w:tblGrid>
            <w:tr w:rsidR="00B87619" w:rsidRPr="00982F9D" w:rsidTr="002179DF">
              <w:trPr>
                <w:trHeight w:val="285"/>
              </w:trPr>
              <w:tc>
                <w:tcPr>
                  <w:tcW w:w="829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B87619" w:rsidRPr="00982F9D" w:rsidRDefault="00B87619" w:rsidP="002179DF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:rsidR="00B87619" w:rsidRPr="00982F9D" w:rsidRDefault="00B87619" w:rsidP="002179D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96344C" w:rsidRDefault="0096344C"/>
    <w:sectPr w:rsidR="0096344C" w:rsidSect="0096344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766AC2"/>
    <w:multiLevelType w:val="multilevel"/>
    <w:tmpl w:val="2CFAF026"/>
    <w:lvl w:ilvl="0">
      <w:start w:val="1"/>
      <w:numFmt w:val="decimal"/>
      <w:lvlText w:val="%1"/>
      <w:lvlJc w:val="left"/>
      <w:pPr>
        <w:ind w:left="432" w:hanging="432"/>
      </w:pPr>
      <w:rPr>
        <w:b/>
        <w:sz w:val="22"/>
        <w:szCs w:val="22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 w15:restartNumberingAfterBreak="0">
    <w:nsid w:val="24DD7820"/>
    <w:multiLevelType w:val="hybridMultilevel"/>
    <w:tmpl w:val="350464A6"/>
    <w:lvl w:ilvl="0" w:tplc="9AE60C34">
      <w:start w:val="1"/>
      <w:numFmt w:val="bullet"/>
      <w:lvlText w:val=""/>
      <w:lvlJc w:val="left"/>
      <w:pPr>
        <w:tabs>
          <w:tab w:val="num" w:pos="230"/>
        </w:tabs>
        <w:ind w:left="454" w:hanging="284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AE60C34">
      <w:start w:val="1"/>
      <w:numFmt w:val="bullet"/>
      <w:lvlText w:val=""/>
      <w:lvlJc w:val="left"/>
      <w:pPr>
        <w:tabs>
          <w:tab w:val="num" w:pos="1860"/>
        </w:tabs>
        <w:ind w:left="2084" w:hanging="284"/>
      </w:pPr>
      <w:rPr>
        <w:rFonts w:ascii="Symbol" w:hAnsi="Symbol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619"/>
    <w:rsid w:val="000911F3"/>
    <w:rsid w:val="000A0CB6"/>
    <w:rsid w:val="000F390E"/>
    <w:rsid w:val="00122BD0"/>
    <w:rsid w:val="00153DE6"/>
    <w:rsid w:val="00157B15"/>
    <w:rsid w:val="00171EF0"/>
    <w:rsid w:val="00172222"/>
    <w:rsid w:val="001A4F20"/>
    <w:rsid w:val="001B2DF0"/>
    <w:rsid w:val="001E17B7"/>
    <w:rsid w:val="001E1DB3"/>
    <w:rsid w:val="001E4C10"/>
    <w:rsid w:val="00281239"/>
    <w:rsid w:val="003503D8"/>
    <w:rsid w:val="00367015"/>
    <w:rsid w:val="003A44B3"/>
    <w:rsid w:val="003B0FDD"/>
    <w:rsid w:val="003B6E84"/>
    <w:rsid w:val="003C1AD1"/>
    <w:rsid w:val="003F4131"/>
    <w:rsid w:val="00415BF4"/>
    <w:rsid w:val="00494663"/>
    <w:rsid w:val="004F0046"/>
    <w:rsid w:val="00553903"/>
    <w:rsid w:val="005C083C"/>
    <w:rsid w:val="00631BE0"/>
    <w:rsid w:val="00674701"/>
    <w:rsid w:val="00715270"/>
    <w:rsid w:val="00746365"/>
    <w:rsid w:val="008776B4"/>
    <w:rsid w:val="0088212A"/>
    <w:rsid w:val="00954189"/>
    <w:rsid w:val="0096344C"/>
    <w:rsid w:val="009A7DF9"/>
    <w:rsid w:val="00A5715B"/>
    <w:rsid w:val="00AA523C"/>
    <w:rsid w:val="00B77C1E"/>
    <w:rsid w:val="00B87619"/>
    <w:rsid w:val="00C92AB2"/>
    <w:rsid w:val="00C9636C"/>
    <w:rsid w:val="00CC41CE"/>
    <w:rsid w:val="00D53BEB"/>
    <w:rsid w:val="00DA316C"/>
    <w:rsid w:val="00DF02F7"/>
    <w:rsid w:val="00E05162"/>
    <w:rsid w:val="00E22507"/>
    <w:rsid w:val="00EC794C"/>
    <w:rsid w:val="00ED0687"/>
    <w:rsid w:val="00EE2D91"/>
    <w:rsid w:val="00F80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60F518B-8241-4883-BDE4-5BE712662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ind w:left="284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7619"/>
    <w:pPr>
      <w:ind w:left="0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Heading1">
    <w:name w:val="heading 1"/>
    <w:basedOn w:val="Normal"/>
    <w:next w:val="Normal"/>
    <w:link w:val="Heading1Char"/>
    <w:autoRedefine/>
    <w:qFormat/>
    <w:rsid w:val="00CC41CE"/>
    <w:pPr>
      <w:keepNext/>
      <w:framePr w:hSpace="181" w:wrap="around" w:vAnchor="text" w:hAnchor="page" w:x="1354" w:y="4874"/>
      <w:spacing w:before="480" w:after="300"/>
      <w:ind w:left="360"/>
      <w:suppressOverlap/>
      <w:outlineLvl w:val="0"/>
    </w:pPr>
    <w:rPr>
      <w:rFonts w:cs="Arial"/>
      <w:b/>
      <w:bCs/>
      <w:color w:val="000000"/>
      <w:kern w:val="32"/>
      <w:sz w:val="28"/>
      <w:szCs w:val="24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281239"/>
    <w:pPr>
      <w:keepNext/>
      <w:keepLines/>
      <w:numPr>
        <w:ilvl w:val="1"/>
        <w:numId w:val="1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B77C1E"/>
    <w:pPr>
      <w:keepNext/>
      <w:keepLines/>
      <w:numPr>
        <w:ilvl w:val="2"/>
        <w:numId w:val="1"/>
      </w:numPr>
      <w:spacing w:before="200"/>
      <w:outlineLvl w:val="2"/>
    </w:pPr>
    <w:rPr>
      <w:rFonts w:eastAsiaTheme="majorEastAsia" w:cstheme="majorBidi"/>
      <w:b/>
      <w:bCs/>
      <w:color w:val="000000" w:themeColor="tex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C41CE"/>
    <w:rPr>
      <w:rFonts w:ascii="Arial" w:eastAsia="Times New Roman" w:hAnsi="Arial" w:cs="Arial"/>
      <w:b/>
      <w:bCs/>
      <w:color w:val="000000"/>
      <w:kern w:val="32"/>
      <w:sz w:val="28"/>
      <w:szCs w:val="24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281239"/>
    <w:rPr>
      <w:rFonts w:asciiTheme="majorHAnsi" w:eastAsiaTheme="majorEastAsia" w:hAnsiTheme="majorHAnsi" w:cstheme="majorBidi"/>
      <w:b/>
      <w:bCs/>
      <w:color w:val="000000" w:themeColor="text1"/>
      <w:sz w:val="24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E22507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/>
      <w:jc w:val="center"/>
    </w:pPr>
    <w:rPr>
      <w:rFonts w:ascii="Calibri" w:hAnsi="Calibri"/>
      <w:caps/>
      <w:color w:val="632423" w:themeColor="accent2" w:themeShade="80"/>
      <w:spacing w:val="50"/>
      <w:sz w:val="40"/>
      <w:szCs w:val="44"/>
    </w:rPr>
  </w:style>
  <w:style w:type="character" w:customStyle="1" w:styleId="TitleChar">
    <w:name w:val="Title Char"/>
    <w:basedOn w:val="DefaultParagraphFont"/>
    <w:link w:val="Title"/>
    <w:uiPriority w:val="10"/>
    <w:rsid w:val="00E22507"/>
    <w:rPr>
      <w:rFonts w:ascii="Calibri" w:hAnsi="Calibri"/>
      <w:caps/>
      <w:color w:val="632423" w:themeColor="accent2" w:themeShade="80"/>
      <w:spacing w:val="50"/>
      <w:sz w:val="40"/>
      <w:szCs w:val="44"/>
    </w:rPr>
  </w:style>
  <w:style w:type="character" w:customStyle="1" w:styleId="Heading3Char">
    <w:name w:val="Heading 3 Char"/>
    <w:basedOn w:val="DefaultParagraphFont"/>
    <w:link w:val="Heading3"/>
    <w:uiPriority w:val="9"/>
    <w:rsid w:val="00B77C1E"/>
    <w:rPr>
      <w:rFonts w:ascii="Arial" w:eastAsiaTheme="majorEastAsia" w:hAnsi="Arial" w:cstheme="majorBidi"/>
      <w:b/>
      <w:bCs/>
      <w:color w:val="000000" w:themeColor="text1"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761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7619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444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2976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Annie Burrin (Cardiff and Vale UHB - Patient Safety And Quality)</cp:lastModifiedBy>
  <cp:revision>2</cp:revision>
  <dcterms:created xsi:type="dcterms:W3CDTF">2021-06-28T07:38:00Z</dcterms:created>
  <dcterms:modified xsi:type="dcterms:W3CDTF">2021-06-28T07:38:00Z</dcterms:modified>
</cp:coreProperties>
</file>